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ascii="方正小标宋简体" w:eastAsia="方正小标宋简体" w:cs="仿宋_GB2312"/>
          <w:bCs/>
          <w:color w:val="000000" w:themeColor="text1"/>
          <w:spacing w:val="100"/>
          <w:sz w:val="44"/>
          <w:szCs w:val="44"/>
        </w:rPr>
      </w:pPr>
      <w:r>
        <w:rPr>
          <w:rFonts w:hint="eastAsia" w:ascii="方正小标宋简体" w:eastAsia="方正小标宋简体" w:cs="仿宋_GB2312"/>
          <w:bCs/>
          <w:color w:val="000000" w:themeColor="text1"/>
          <w:spacing w:val="100"/>
          <w:sz w:val="44"/>
          <w:szCs w:val="44"/>
        </w:rPr>
        <w:t>广州互联网法院</w:t>
      </w:r>
    </w:p>
    <w:p>
      <w:pPr>
        <w:spacing w:line="800" w:lineRule="exact"/>
        <w:jc w:val="center"/>
        <w:rPr>
          <w:rFonts w:ascii="方正小标宋简体" w:eastAsia="方正小标宋简体" w:cs="仿宋_GB2312"/>
          <w:bCs/>
          <w:color w:val="000000" w:themeColor="text1"/>
          <w:spacing w:val="20"/>
          <w:sz w:val="44"/>
          <w:szCs w:val="44"/>
        </w:rPr>
      </w:pPr>
      <w:r>
        <w:rPr>
          <w:rFonts w:hint="eastAsia" w:ascii="方正小标宋简体" w:eastAsia="方正小标宋简体" w:cs="仿宋_GB2312"/>
          <w:bCs/>
          <w:color w:val="000000" w:themeColor="text1"/>
          <w:spacing w:val="100"/>
          <w:sz w:val="44"/>
          <w:szCs w:val="44"/>
        </w:rPr>
        <w:t>公 告</w:t>
      </w:r>
    </w:p>
    <w:p>
      <w:pPr>
        <w:spacing w:line="560" w:lineRule="exact"/>
        <w:ind w:firstLine="622" w:firstLineChars="200"/>
        <w:rPr>
          <w:rFonts w:eastAsia="仿宋_GB2312"/>
          <w:color w:val="000000" w:themeColor="text1"/>
          <w:sz w:val="32"/>
        </w:rPr>
      </w:pPr>
    </w:p>
    <w:p>
      <w:pPr>
        <w:wordWrap w:val="0"/>
        <w:spacing w:line="560" w:lineRule="exact"/>
        <w:ind w:firstLine="622" w:firstLineChars="200"/>
        <w:jc w:val="right"/>
        <w:rPr>
          <w:rFonts w:ascii="仿宋_GB2312" w:eastAsia="仿宋_GB2312"/>
          <w:color w:val="000000" w:themeColor="text1"/>
          <w:sz w:val="32"/>
        </w:rPr>
      </w:pPr>
      <w:r>
        <w:rPr>
          <w:rFonts w:hint="eastAsia" w:ascii="仿宋_GB2312" w:eastAsia="仿宋_GB2312"/>
          <w:color w:val="000000" w:themeColor="text1"/>
          <w:sz w:val="32"/>
        </w:rPr>
        <w:t>（</w:t>
      </w:r>
      <w:r>
        <w:rPr>
          <w:rFonts w:hint="eastAsia" w:ascii="仿宋_GB2312" w:hAnsi="仿宋" w:eastAsia="仿宋_GB2312"/>
          <w:color w:val="000000" w:themeColor="text1"/>
          <w:spacing w:val="-6"/>
          <w:sz w:val="32"/>
        </w:rPr>
        <w:t>201</w:t>
      </w:r>
      <w:r>
        <w:rPr>
          <w:rFonts w:hint="eastAsia" w:ascii="仿宋_GB2312" w:hAnsi="仿宋" w:eastAsia="仿宋_GB2312"/>
          <w:color w:val="000000" w:themeColor="text1"/>
          <w:spacing w:val="-6"/>
          <w:sz w:val="32"/>
          <w:lang w:val="en-US" w:eastAsia="zh-CN"/>
        </w:rPr>
        <w:t>9</w:t>
      </w:r>
      <w:r>
        <w:rPr>
          <w:rFonts w:hint="eastAsia" w:ascii="仿宋_GB2312" w:hAnsi="仿宋" w:eastAsia="仿宋_GB2312"/>
          <w:color w:val="000000" w:themeColor="text1"/>
          <w:spacing w:val="-6"/>
          <w:sz w:val="32"/>
        </w:rPr>
        <w:t>）粤0192</w:t>
      </w:r>
      <w:r>
        <w:rPr>
          <w:rFonts w:hint="eastAsia" w:ascii="仿宋_GB2312" w:hAnsi="仿宋" w:eastAsia="仿宋_GB2312"/>
          <w:color w:val="000000" w:themeColor="text1"/>
          <w:spacing w:val="-6"/>
          <w:sz w:val="32"/>
          <w:lang w:eastAsia="zh-CN"/>
        </w:rPr>
        <w:t>执</w:t>
      </w:r>
      <w:r>
        <w:rPr>
          <w:rFonts w:hint="eastAsia" w:ascii="仿宋_GB2312" w:hAnsi="仿宋" w:eastAsia="仿宋_GB2312"/>
          <w:color w:val="000000" w:themeColor="text1"/>
          <w:spacing w:val="-6"/>
          <w:sz w:val="32"/>
          <w:lang w:val="en-US" w:eastAsia="zh-CN"/>
        </w:rPr>
        <w:t>66号</w:t>
      </w:r>
      <w:r>
        <w:rPr>
          <w:rFonts w:hint="eastAsia" w:ascii="仿宋_GB2312" w:eastAsia="仿宋_GB2312"/>
          <w:color w:val="000000" w:themeColor="text1"/>
          <w:sz w:val="32"/>
        </w:rPr>
        <w:t>　　</w:t>
      </w:r>
    </w:p>
    <w:p>
      <w:pPr>
        <w:spacing w:line="560" w:lineRule="exact"/>
        <w:ind w:firstLine="622" w:firstLineChars="200"/>
        <w:jc w:val="right"/>
        <w:rPr>
          <w:rFonts w:eastAsia="仿宋_GB2312"/>
          <w:color w:val="000000" w:themeColor="text1"/>
          <w:sz w:val="32"/>
        </w:rPr>
      </w:pPr>
    </w:p>
    <w:p>
      <w:pPr>
        <w:spacing w:line="560" w:lineRule="exact"/>
        <w:rPr>
          <w:rFonts w:ascii="仿宋_GB2312" w:hAnsi="Calibri" w:eastAsia="仿宋_GB2312"/>
          <w:color w:val="000000" w:themeColor="text1"/>
          <w:sz w:val="32"/>
        </w:rPr>
      </w:pPr>
      <w:r>
        <w:rPr>
          <w:rFonts w:hint="eastAsia" w:ascii="仿宋_GB2312" w:hAnsi="Calibri" w:eastAsia="仿宋_GB2312"/>
          <w:color w:val="000000" w:themeColor="text1"/>
          <w:sz w:val="32"/>
          <w:lang w:eastAsia="zh-CN"/>
        </w:rPr>
        <w:t>詹岳立</w:t>
      </w:r>
      <w:r>
        <w:rPr>
          <w:rFonts w:hint="eastAsia" w:ascii="仿宋_GB2312" w:hAnsi="Calibri" w:eastAsia="仿宋_GB2312"/>
          <w:color w:val="000000" w:themeColor="text1"/>
          <w:sz w:val="32"/>
        </w:rPr>
        <w:t>：</w:t>
      </w:r>
    </w:p>
    <w:p>
      <w:pPr>
        <w:spacing w:line="560" w:lineRule="exact"/>
        <w:ind w:firstLine="622" w:firstLineChars="200"/>
        <w:rPr>
          <w:rFonts w:hint="eastAsia" w:ascii="仿宋_GB2312" w:hAnsi="Calibri" w:eastAsia="仿宋_GB2312"/>
          <w:color w:val="000000" w:themeColor="text1"/>
          <w:sz w:val="32"/>
          <w:lang w:eastAsia="zh-CN"/>
        </w:rPr>
      </w:pPr>
      <w:r>
        <w:rPr>
          <w:rFonts w:hint="eastAsia" w:ascii="仿宋_GB2312" w:hAnsi="Calibri" w:eastAsia="仿宋_GB2312"/>
          <w:color w:val="000000" w:themeColor="text1"/>
          <w:sz w:val="32"/>
        </w:rPr>
        <w:t>本院受理</w:t>
      </w:r>
      <w:r>
        <w:rPr>
          <w:rFonts w:hint="eastAsia" w:ascii="仿宋_GB2312" w:hAnsi="Calibri" w:eastAsia="仿宋_GB2312"/>
          <w:color w:val="000000" w:themeColor="text1"/>
          <w:sz w:val="32"/>
          <w:lang w:eastAsia="zh-CN"/>
        </w:rPr>
        <w:t>申请执行人广州平安好贷小额贷款有限公司</w:t>
      </w:r>
      <w:r>
        <w:rPr>
          <w:rFonts w:hint="eastAsia" w:ascii="仿宋_GB2312" w:hAnsi="Calibri" w:eastAsia="仿宋_GB2312"/>
          <w:color w:val="000000" w:themeColor="text1"/>
          <w:sz w:val="32"/>
        </w:rPr>
        <w:t>与</w:t>
      </w:r>
      <w:r>
        <w:rPr>
          <w:rFonts w:hint="eastAsia" w:ascii="仿宋_GB2312" w:hAnsi="Calibri" w:eastAsia="仿宋_GB2312"/>
          <w:color w:val="000000" w:themeColor="text1"/>
          <w:sz w:val="32"/>
          <w:lang w:eastAsia="zh-CN"/>
        </w:rPr>
        <w:t>被执行人詹岳立小额借款合同纠纷的</w:t>
      </w:r>
      <w:r>
        <w:rPr>
          <w:rFonts w:ascii="仿宋_GB2312" w:hAnsi="Calibri" w:eastAsia="仿宋_GB2312"/>
          <w:color w:val="000000" w:themeColor="text1"/>
          <w:sz w:val="32"/>
        </w:rPr>
        <w:t>（201</w:t>
      </w:r>
      <w:r>
        <w:rPr>
          <w:rFonts w:hint="eastAsia" w:ascii="仿宋_GB2312" w:hAnsi="Calibri" w:eastAsia="仿宋_GB2312"/>
          <w:color w:val="000000" w:themeColor="text1"/>
          <w:sz w:val="32"/>
          <w:lang w:val="en-US" w:eastAsia="zh-CN"/>
        </w:rPr>
        <w:t>9</w:t>
      </w:r>
      <w:r>
        <w:rPr>
          <w:rFonts w:ascii="仿宋_GB2312" w:hAnsi="Calibri" w:eastAsia="仿宋_GB2312"/>
          <w:color w:val="000000" w:themeColor="text1"/>
          <w:sz w:val="32"/>
        </w:rPr>
        <w:t>）粤0192</w:t>
      </w:r>
      <w:r>
        <w:rPr>
          <w:rFonts w:hint="eastAsia" w:ascii="仿宋_GB2312" w:hAnsi="Calibri" w:eastAsia="仿宋_GB2312"/>
          <w:color w:val="000000" w:themeColor="text1"/>
          <w:sz w:val="32"/>
          <w:lang w:eastAsia="zh-CN"/>
        </w:rPr>
        <w:t>执</w:t>
      </w:r>
      <w:r>
        <w:rPr>
          <w:rFonts w:hint="eastAsia" w:ascii="仿宋_GB2312" w:hAnsi="Calibri" w:eastAsia="仿宋_GB2312"/>
          <w:color w:val="000000" w:themeColor="text1"/>
          <w:sz w:val="32"/>
          <w:lang w:val="en-US" w:eastAsia="zh-CN"/>
        </w:rPr>
        <w:t>66</w:t>
      </w:r>
      <w:r>
        <w:rPr>
          <w:rFonts w:ascii="仿宋_GB2312" w:hAnsi="Calibri" w:eastAsia="仿宋_GB2312"/>
          <w:color w:val="000000" w:themeColor="text1"/>
          <w:sz w:val="32"/>
        </w:rPr>
        <w:t>号</w:t>
      </w:r>
      <w:r>
        <w:rPr>
          <w:rFonts w:hint="eastAsia" w:ascii="仿宋_GB2312" w:hAnsi="Calibri" w:eastAsia="仿宋_GB2312"/>
          <w:color w:val="000000" w:themeColor="text1"/>
          <w:sz w:val="32"/>
          <w:lang w:eastAsia="zh-CN"/>
        </w:rPr>
        <w:t>案，</w:t>
      </w:r>
      <w:r>
        <w:rPr>
          <w:rFonts w:hint="eastAsia" w:ascii="仿宋_GB2312" w:hAnsi="Calibri" w:eastAsia="仿宋_GB2312"/>
          <w:color w:val="000000" w:themeColor="text1"/>
          <w:sz w:val="32"/>
        </w:rPr>
        <w:t>本院已依法立案执行。现因依《中华人民共和国民事诉讼法》规定的其他方式无法向你送达，根据《中华人民共和国民事诉讼法》第九十二条之规定，特向被执行人</w:t>
      </w:r>
      <w:r>
        <w:rPr>
          <w:rFonts w:hint="eastAsia" w:ascii="仿宋_GB2312" w:hAnsi="Calibri" w:eastAsia="仿宋_GB2312"/>
          <w:color w:val="000000" w:themeColor="text1"/>
          <w:sz w:val="32"/>
          <w:lang w:eastAsia="zh-CN"/>
        </w:rPr>
        <w:t>詹岳</w:t>
      </w:r>
      <w:bookmarkStart w:id="0" w:name="_GoBack"/>
      <w:bookmarkEnd w:id="0"/>
      <w:r>
        <w:rPr>
          <w:rFonts w:hint="eastAsia" w:ascii="仿宋_GB2312" w:hAnsi="Calibri" w:eastAsia="仿宋_GB2312"/>
          <w:color w:val="000000" w:themeColor="text1"/>
          <w:sz w:val="32"/>
          <w:lang w:eastAsia="zh-CN"/>
        </w:rPr>
        <w:t>立</w:t>
      </w:r>
      <w:r>
        <w:rPr>
          <w:rFonts w:hint="eastAsia" w:ascii="仿宋_GB2312" w:hAnsi="Calibri" w:eastAsia="仿宋_GB2312"/>
          <w:color w:val="000000" w:themeColor="text1"/>
          <w:sz w:val="32"/>
        </w:rPr>
        <w:t>公告送达执行通知书、报告财产令</w:t>
      </w:r>
      <w:r>
        <w:rPr>
          <w:rFonts w:hint="eastAsia" w:ascii="仿宋_GB2312" w:hAnsi="Calibri" w:eastAsia="仿宋_GB2312"/>
          <w:color w:val="000000" w:themeColor="text1"/>
          <w:sz w:val="32"/>
          <w:lang w:eastAsia="zh-CN"/>
        </w:rPr>
        <w:t>，</w:t>
      </w:r>
      <w:r>
        <w:rPr>
          <w:rFonts w:hint="eastAsia" w:ascii="仿宋_GB2312" w:hAnsi="Calibri" w:eastAsia="仿宋_GB2312"/>
          <w:color w:val="000000" w:themeColor="text1"/>
          <w:sz w:val="32"/>
          <w:lang w:val="en-US" w:eastAsia="zh-CN"/>
        </w:rPr>
        <w:t>以后执行中作出的法律文书，如：限制消费令，纳入失信被执行人名单、限制出境等决定书，查封、扣押、冻结、扣划、扣留、提取、拍卖、变卖等裁定书，以及评估报告等法律文书，情况没有变化的，不再另行公告送达。</w:t>
      </w:r>
    </w:p>
    <w:p>
      <w:pPr>
        <w:spacing w:line="560" w:lineRule="exact"/>
        <w:ind w:firstLine="622" w:firstLineChars="200"/>
        <w:rPr>
          <w:rFonts w:ascii="仿宋_GB2312" w:hAnsi="Calibri" w:eastAsia="仿宋_GB2312"/>
          <w:color w:val="000000" w:themeColor="text1"/>
          <w:sz w:val="32"/>
        </w:rPr>
      </w:pPr>
      <w:r>
        <w:rPr>
          <w:rFonts w:hint="eastAsia" w:ascii="仿宋_GB2312" w:hAnsi="Calibri" w:eastAsia="仿宋_GB2312"/>
          <w:color w:val="000000" w:themeColor="text1"/>
          <w:sz w:val="32"/>
          <w:szCs w:val="22"/>
        </w:rPr>
        <w:t>特此公告。</w:t>
      </w:r>
    </w:p>
    <w:p>
      <w:pPr>
        <w:spacing w:line="560" w:lineRule="exact"/>
        <w:jc w:val="right"/>
        <w:rPr>
          <w:rFonts w:ascii="仿宋_GB2312" w:hAnsi="Calibri" w:eastAsia="仿宋_GB2312"/>
          <w:color w:val="000000" w:themeColor="text1"/>
          <w:sz w:val="32"/>
        </w:rPr>
      </w:pPr>
      <w:r>
        <w:rPr>
          <w:rFonts w:hint="eastAsia" w:ascii="仿宋_GB2312" w:hAnsi="Calibri" w:eastAsia="仿宋_GB2312"/>
          <w:color w:val="000000" w:themeColor="text1"/>
          <w:sz w:val="32"/>
        </w:rPr>
        <w:t>二</w:t>
      </w:r>
      <w:r>
        <w:rPr>
          <w:rFonts w:hint="eastAsia" w:ascii="宋体" w:hAnsi="宋体" w:cs="宋体"/>
          <w:color w:val="000000" w:themeColor="text1"/>
          <w:sz w:val="32"/>
        </w:rPr>
        <w:t>〇</w:t>
      </w:r>
      <w:r>
        <w:rPr>
          <w:rFonts w:hint="eastAsia" w:ascii="仿宋_GB2312" w:hAnsi="仿宋_GB2312" w:eastAsia="仿宋_GB2312" w:cs="仿宋_GB2312"/>
          <w:color w:val="000000" w:themeColor="text1"/>
          <w:sz w:val="32"/>
        </w:rPr>
        <w:t>一九</w:t>
      </w:r>
      <w:r>
        <w:rPr>
          <w:rFonts w:hint="eastAsia" w:ascii="仿宋_GB2312" w:hAnsi="Calibri" w:eastAsia="仿宋_GB2312"/>
          <w:color w:val="000000" w:themeColor="text1"/>
          <w:sz w:val="32"/>
        </w:rPr>
        <w:t>年</w:t>
      </w:r>
      <w:r>
        <w:rPr>
          <w:rFonts w:hint="eastAsia" w:ascii="仿宋_GB2312" w:hAnsi="Calibri" w:eastAsia="仿宋_GB2312"/>
          <w:color w:val="000000" w:themeColor="text1"/>
          <w:sz w:val="32"/>
          <w:lang w:eastAsia="zh-CN"/>
        </w:rPr>
        <w:t>八</w:t>
      </w:r>
      <w:r>
        <w:rPr>
          <w:rFonts w:hint="eastAsia" w:ascii="仿宋_GB2312" w:hAnsi="Calibri" w:eastAsia="仿宋_GB2312"/>
          <w:color w:val="000000" w:themeColor="text1"/>
          <w:sz w:val="32"/>
        </w:rPr>
        <w:t>月</w:t>
      </w:r>
      <w:r>
        <w:rPr>
          <w:rFonts w:hint="eastAsia" w:ascii="仿宋_GB2312" w:hAnsi="Calibri" w:eastAsia="仿宋_GB2312"/>
          <w:color w:val="000000" w:themeColor="text1"/>
          <w:sz w:val="32"/>
          <w:lang w:eastAsia="zh-CN"/>
        </w:rPr>
        <w:t>十九</w:t>
      </w:r>
      <w:r>
        <w:rPr>
          <w:rFonts w:hint="eastAsia" w:ascii="仿宋_GB2312" w:hAnsi="Calibri" w:eastAsia="仿宋_GB2312"/>
          <w:color w:val="000000" w:themeColor="text1"/>
          <w:sz w:val="32"/>
        </w:rPr>
        <w:t>日</w:t>
      </w:r>
    </w:p>
    <w:p>
      <w:pPr>
        <w:spacing w:line="560" w:lineRule="exact"/>
        <w:jc w:val="right"/>
        <w:rPr>
          <w:rFonts w:ascii="仿宋_GB2312" w:hAnsi="Calibri" w:eastAsia="仿宋_GB2312"/>
          <w:color w:val="000000" w:themeColor="text1"/>
          <w:sz w:val="32"/>
        </w:rPr>
      </w:pPr>
    </w:p>
    <w:p>
      <w:pPr>
        <w:spacing w:line="560" w:lineRule="exact"/>
        <w:jc w:val="left"/>
        <w:rPr>
          <w:rFonts w:ascii="仿宋_GB2312" w:hAnsi="Calibri" w:eastAsia="仿宋_GB2312"/>
          <w:color w:val="000000" w:themeColor="text1"/>
          <w:sz w:val="32"/>
        </w:rPr>
      </w:pPr>
      <w:r>
        <w:rPr>
          <w:rFonts w:hint="eastAsia" w:ascii="仿宋_GB2312" w:hAnsi="Calibri" w:eastAsia="仿宋_GB2312"/>
          <w:color w:val="000000" w:themeColor="text1"/>
          <w:sz w:val="32"/>
        </w:rPr>
        <w:t xml:space="preserve">    </w:t>
      </w:r>
    </w:p>
    <w:p>
      <w:pPr>
        <w:spacing w:line="560" w:lineRule="exact"/>
        <w:jc w:val="left"/>
        <w:rPr>
          <w:rFonts w:hint="default" w:ascii="仿宋_GB2312" w:hAnsi="Calibri" w:eastAsia="仿宋_GB2312"/>
          <w:color w:val="000000" w:themeColor="text1"/>
          <w:sz w:val="32"/>
          <w:lang w:val="en-US" w:eastAsia="zh-CN"/>
        </w:rPr>
      </w:pPr>
      <w:r>
        <w:rPr>
          <w:rFonts w:hint="eastAsia" w:ascii="仿宋_GB2312" w:hAnsi="Calibri" w:eastAsia="仿宋_GB2312"/>
          <w:color w:val="000000" w:themeColor="text1"/>
          <w:sz w:val="32"/>
        </w:rPr>
        <w:t>联系电话：</w:t>
      </w:r>
      <w:r>
        <w:rPr>
          <w:rFonts w:ascii="仿宋_GB2312" w:hAnsi="Calibri" w:eastAsia="仿宋_GB2312"/>
          <w:color w:val="000000" w:themeColor="text1"/>
          <w:sz w:val="32"/>
        </w:rPr>
        <w:t>020-</w:t>
      </w:r>
      <w:r>
        <w:rPr>
          <w:rFonts w:hint="eastAsia" w:ascii="仿宋_GB2312" w:hAnsi="Calibri" w:eastAsia="仿宋_GB2312"/>
          <w:color w:val="000000" w:themeColor="text1"/>
          <w:sz w:val="32"/>
        </w:rPr>
        <w:t>366908</w:t>
      </w:r>
      <w:r>
        <w:rPr>
          <w:rFonts w:hint="eastAsia" w:ascii="仿宋_GB2312" w:hAnsi="Calibri" w:eastAsia="仿宋_GB2312"/>
          <w:color w:val="000000" w:themeColor="text1"/>
          <w:sz w:val="32"/>
          <w:lang w:val="en-US" w:eastAsia="zh-CN"/>
        </w:rPr>
        <w:t>68</w:t>
      </w:r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numberInDash"/>
      <w:cols w:space="425" w:num="1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- 2 -</w: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F345A"/>
    <w:rsid w:val="00211BA9"/>
    <w:rsid w:val="002353F7"/>
    <w:rsid w:val="002849D5"/>
    <w:rsid w:val="00371B9F"/>
    <w:rsid w:val="00443FA2"/>
    <w:rsid w:val="004D59A6"/>
    <w:rsid w:val="005A53A0"/>
    <w:rsid w:val="00620280"/>
    <w:rsid w:val="006C4081"/>
    <w:rsid w:val="00783602"/>
    <w:rsid w:val="007A2B95"/>
    <w:rsid w:val="007F28FA"/>
    <w:rsid w:val="00820333"/>
    <w:rsid w:val="00840DF8"/>
    <w:rsid w:val="00841F8F"/>
    <w:rsid w:val="008669AE"/>
    <w:rsid w:val="008C233B"/>
    <w:rsid w:val="008F345A"/>
    <w:rsid w:val="00A154C9"/>
    <w:rsid w:val="00A44731"/>
    <w:rsid w:val="00A5438B"/>
    <w:rsid w:val="00AB2CE8"/>
    <w:rsid w:val="00AE20BB"/>
    <w:rsid w:val="00AF6809"/>
    <w:rsid w:val="00B20F12"/>
    <w:rsid w:val="00B27C14"/>
    <w:rsid w:val="00B35689"/>
    <w:rsid w:val="00B61B42"/>
    <w:rsid w:val="00BA40AA"/>
    <w:rsid w:val="00BC06F0"/>
    <w:rsid w:val="00BC47CE"/>
    <w:rsid w:val="00BD0F04"/>
    <w:rsid w:val="00C0684E"/>
    <w:rsid w:val="00CD77F9"/>
    <w:rsid w:val="00D014F6"/>
    <w:rsid w:val="00D26EF2"/>
    <w:rsid w:val="00D729FD"/>
    <w:rsid w:val="00E505BD"/>
    <w:rsid w:val="00E82F5A"/>
    <w:rsid w:val="00F8615A"/>
    <w:rsid w:val="029D0134"/>
    <w:rsid w:val="071C4108"/>
    <w:rsid w:val="075925F3"/>
    <w:rsid w:val="07B356DA"/>
    <w:rsid w:val="0A6E1069"/>
    <w:rsid w:val="0F9F00A8"/>
    <w:rsid w:val="10052148"/>
    <w:rsid w:val="11B80EE8"/>
    <w:rsid w:val="13196188"/>
    <w:rsid w:val="14921B53"/>
    <w:rsid w:val="16CD2BE8"/>
    <w:rsid w:val="17230366"/>
    <w:rsid w:val="19FD0292"/>
    <w:rsid w:val="1AA3739A"/>
    <w:rsid w:val="1AC669C1"/>
    <w:rsid w:val="1C8800FE"/>
    <w:rsid w:val="1C9E2FC0"/>
    <w:rsid w:val="1CFB1F2F"/>
    <w:rsid w:val="1E000C70"/>
    <w:rsid w:val="1F85610E"/>
    <w:rsid w:val="28DC6C69"/>
    <w:rsid w:val="2C734A9F"/>
    <w:rsid w:val="2D3B513B"/>
    <w:rsid w:val="2F564CA1"/>
    <w:rsid w:val="33B40145"/>
    <w:rsid w:val="33B74692"/>
    <w:rsid w:val="3474578D"/>
    <w:rsid w:val="35A2673D"/>
    <w:rsid w:val="363565ED"/>
    <w:rsid w:val="36C36353"/>
    <w:rsid w:val="37A72E7C"/>
    <w:rsid w:val="3AB157F6"/>
    <w:rsid w:val="3ABB2470"/>
    <w:rsid w:val="3CC07FAC"/>
    <w:rsid w:val="4048211C"/>
    <w:rsid w:val="412E7930"/>
    <w:rsid w:val="436252AB"/>
    <w:rsid w:val="47076588"/>
    <w:rsid w:val="48C90F88"/>
    <w:rsid w:val="49DF56E2"/>
    <w:rsid w:val="4F791DD6"/>
    <w:rsid w:val="4F7D021B"/>
    <w:rsid w:val="506948A6"/>
    <w:rsid w:val="51AC3D67"/>
    <w:rsid w:val="523551FA"/>
    <w:rsid w:val="54843F9F"/>
    <w:rsid w:val="5A4C78A8"/>
    <w:rsid w:val="5F346F3C"/>
    <w:rsid w:val="607774F1"/>
    <w:rsid w:val="62D356F0"/>
    <w:rsid w:val="63832094"/>
    <w:rsid w:val="685F186D"/>
    <w:rsid w:val="6A5E54C4"/>
    <w:rsid w:val="6CC3232C"/>
    <w:rsid w:val="6D9435D3"/>
    <w:rsid w:val="6E651066"/>
    <w:rsid w:val="6EBC0DBE"/>
    <w:rsid w:val="6ED21BCD"/>
    <w:rsid w:val="71913A7B"/>
    <w:rsid w:val="71C32441"/>
    <w:rsid w:val="72530431"/>
    <w:rsid w:val="74D1585E"/>
    <w:rsid w:val="75467C98"/>
    <w:rsid w:val="75A679EC"/>
    <w:rsid w:val="78EA6769"/>
    <w:rsid w:val="7AD55A39"/>
    <w:rsid w:val="7CF27A75"/>
    <w:rsid w:val="7DEB0B39"/>
    <w:rsid w:val="7DFF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current"/>
    <w:basedOn w:val="7"/>
    <w:uiPriority w:val="0"/>
    <w:rPr>
      <w:b/>
      <w:color w:val="5E5E5E"/>
      <w:bdr w:val="single" w:color="5E5E5E" w:sz="6" w:space="0"/>
      <w:shd w:val="clear" w:fill="DADBDB"/>
    </w:rPr>
  </w:style>
  <w:style w:type="character" w:customStyle="1" w:styleId="14">
    <w:name w:val="disabled"/>
    <w:basedOn w:val="7"/>
    <w:uiPriority w:val="0"/>
    <w:rPr>
      <w:color w:val="FFE3C6"/>
      <w:bdr w:val="single" w:color="FFE3C6" w:sz="6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594</Characters>
  <Lines>4</Lines>
  <Paragraphs>1</Paragraphs>
  <TotalTime>9</TotalTime>
  <ScaleCrop>false</ScaleCrop>
  <LinksUpToDate>false</LinksUpToDate>
  <CharactersWithSpaces>697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2019-08-30T02:33:00Z</dcterms:created>
  <dc:creator>wupx</dc:creator>
  <cp:lastModifiedBy>Jason</cp:lastModifiedBy>
  <dcterms:modified xsi:type="dcterms:W3CDTF">2019-10-12T07:24:34Z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